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445B" w14:textId="3C983AEC" w:rsidR="00093F0F" w:rsidRDefault="00093F0F" w:rsidP="000930E3">
      <w:pPr>
        <w:spacing w:before="0" w:after="0"/>
        <w:rPr>
          <w:rFonts w:ascii="Century Gothic" w:hAnsi="Century Gothic"/>
          <w:b/>
          <w:color w:val="91C73D" w:themeColor="accent1"/>
          <w:sz w:val="48"/>
        </w:rPr>
      </w:pPr>
    </w:p>
    <w:p w14:paraId="6AAB445C" w14:textId="2B590EC3" w:rsidR="00E9465F" w:rsidRPr="00A8375E" w:rsidRDefault="00E9465F" w:rsidP="00E9465F">
      <w:pPr>
        <w:spacing w:before="0" w:after="0"/>
        <w:jc w:val="center"/>
        <w:rPr>
          <w:rFonts w:ascii="Century Gothic" w:hAnsi="Century Gothic"/>
          <w:b/>
          <w:color w:val="005571" w:themeColor="accent3" w:themeShade="BF"/>
          <w:sz w:val="44"/>
        </w:rPr>
      </w:pPr>
      <w:r w:rsidRPr="00A8375E">
        <w:rPr>
          <w:rFonts w:ascii="Century Gothic" w:hAnsi="Century Gothic"/>
          <w:b/>
          <w:color w:val="005571" w:themeColor="accent3" w:themeShade="BF"/>
          <w:sz w:val="40"/>
        </w:rPr>
        <w:t xml:space="preserve">BECOME A </w:t>
      </w:r>
      <w:r w:rsidR="001C6289" w:rsidRPr="00A8375E">
        <w:rPr>
          <w:rFonts w:ascii="Century Gothic" w:hAnsi="Century Gothic"/>
          <w:b/>
          <w:color w:val="005571" w:themeColor="accent3" w:themeShade="BF"/>
          <w:sz w:val="40"/>
        </w:rPr>
        <w:t>MOBILE GROCERY S</w:t>
      </w:r>
      <w:r w:rsidRPr="00A8375E">
        <w:rPr>
          <w:rFonts w:ascii="Century Gothic" w:hAnsi="Century Gothic"/>
          <w:b/>
          <w:color w:val="005571" w:themeColor="accent3" w:themeShade="BF"/>
          <w:sz w:val="40"/>
        </w:rPr>
        <w:t>T</w:t>
      </w:r>
      <w:r w:rsidR="001C6289" w:rsidRPr="00A8375E">
        <w:rPr>
          <w:rFonts w:ascii="Century Gothic" w:hAnsi="Century Gothic"/>
          <w:b/>
          <w:color w:val="005571" w:themeColor="accent3" w:themeShade="BF"/>
          <w:sz w:val="40"/>
        </w:rPr>
        <w:t>ORE</w:t>
      </w:r>
      <w:r w:rsidRPr="00A8375E">
        <w:rPr>
          <w:rFonts w:ascii="Century Gothic" w:hAnsi="Century Gothic"/>
          <w:b/>
          <w:color w:val="005571" w:themeColor="accent3" w:themeShade="BF"/>
          <w:sz w:val="40"/>
        </w:rPr>
        <w:t xml:space="preserve"> STOP</w:t>
      </w:r>
    </w:p>
    <w:p w14:paraId="6AAB445D" w14:textId="36492D5F" w:rsidR="00E9465F" w:rsidRPr="00A8375E" w:rsidRDefault="00E9465F" w:rsidP="00D14A8C">
      <w:pPr>
        <w:spacing w:before="0" w:after="0"/>
        <w:jc w:val="both"/>
        <w:rPr>
          <w:sz w:val="18"/>
        </w:rPr>
      </w:pPr>
      <w:r w:rsidRPr="00A8375E">
        <w:rPr>
          <w:sz w:val="18"/>
        </w:rPr>
        <w:t xml:space="preserve">Thank you for your interest in becoming a stop for </w:t>
      </w:r>
      <w:r w:rsidR="001C6289" w:rsidRPr="00A8375E">
        <w:rPr>
          <w:sz w:val="18"/>
        </w:rPr>
        <w:t>Virtua’s Mobile Grocery Store</w:t>
      </w:r>
      <w:r w:rsidRPr="00A8375E">
        <w:rPr>
          <w:sz w:val="18"/>
        </w:rPr>
        <w:t xml:space="preserve">. </w:t>
      </w:r>
      <w:r w:rsidR="001C6289" w:rsidRPr="00A8375E">
        <w:rPr>
          <w:sz w:val="18"/>
        </w:rPr>
        <w:t>The Mobile</w:t>
      </w:r>
      <w:r w:rsidRPr="00A8375E">
        <w:rPr>
          <w:sz w:val="18"/>
        </w:rPr>
        <w:t xml:space="preserve"> </w:t>
      </w:r>
      <w:r w:rsidR="001C6289" w:rsidRPr="00A8375E">
        <w:rPr>
          <w:sz w:val="18"/>
        </w:rPr>
        <w:t>G</w:t>
      </w:r>
      <w:r w:rsidRPr="00A8375E">
        <w:rPr>
          <w:sz w:val="18"/>
        </w:rPr>
        <w:t xml:space="preserve">rocery </w:t>
      </w:r>
      <w:r w:rsidR="001C6289" w:rsidRPr="00A8375E">
        <w:rPr>
          <w:sz w:val="18"/>
        </w:rPr>
        <w:t>S</w:t>
      </w:r>
      <w:r w:rsidRPr="00A8375E">
        <w:rPr>
          <w:sz w:val="18"/>
        </w:rPr>
        <w:t xml:space="preserve">tore </w:t>
      </w:r>
      <w:r w:rsidR="00AD34BB" w:rsidRPr="00A8375E">
        <w:rPr>
          <w:sz w:val="18"/>
        </w:rPr>
        <w:t xml:space="preserve">is a grocery store </w:t>
      </w:r>
      <w:r w:rsidRPr="00A8375E">
        <w:rPr>
          <w:sz w:val="18"/>
        </w:rPr>
        <w:t xml:space="preserve">on </w:t>
      </w:r>
      <w:r w:rsidR="00AD34BB" w:rsidRPr="00A8375E">
        <w:rPr>
          <w:sz w:val="18"/>
        </w:rPr>
        <w:t xml:space="preserve">a </w:t>
      </w:r>
      <w:r w:rsidRPr="00A8375E">
        <w:rPr>
          <w:sz w:val="18"/>
        </w:rPr>
        <w:t>bus that offers healthy, affordable foods for all. It fills the gap between food shelves and full-operating grocery stores by stopping in locations where food access is the most challenging. Please review the following steps needed to become a stop.</w:t>
      </w:r>
      <w:r w:rsidR="00A8375E" w:rsidRPr="00A8375E">
        <w:rPr>
          <w:sz w:val="18"/>
        </w:rPr>
        <w:t xml:space="preserve"> </w:t>
      </w:r>
      <w:r w:rsidRPr="00A8375E">
        <w:rPr>
          <w:sz w:val="18"/>
        </w:rPr>
        <w:t>If</w:t>
      </w:r>
      <w:r w:rsidR="002B6E83" w:rsidRPr="00A8375E">
        <w:rPr>
          <w:sz w:val="18"/>
        </w:rPr>
        <w:t xml:space="preserve"> you have any questions, </w:t>
      </w:r>
      <w:r w:rsidR="00AD34BB" w:rsidRPr="00A8375E">
        <w:rPr>
          <w:sz w:val="18"/>
        </w:rPr>
        <w:t xml:space="preserve">contact </w:t>
      </w:r>
      <w:r w:rsidR="006426B9">
        <w:rPr>
          <w:sz w:val="18"/>
        </w:rPr>
        <w:t>Melanie Ernest</w:t>
      </w:r>
      <w:r w:rsidR="001056C6">
        <w:rPr>
          <w:sz w:val="18"/>
        </w:rPr>
        <w:t xml:space="preserve">, </w:t>
      </w:r>
      <w:r w:rsidR="006426B9">
        <w:rPr>
          <w:sz w:val="18"/>
        </w:rPr>
        <w:t>Director of Community Based Programs</w:t>
      </w:r>
      <w:r w:rsidR="00730FE5">
        <w:rPr>
          <w:sz w:val="18"/>
        </w:rPr>
        <w:t xml:space="preserve">, Community </w:t>
      </w:r>
      <w:r w:rsidR="006426B9">
        <w:rPr>
          <w:sz w:val="18"/>
        </w:rPr>
        <w:t xml:space="preserve">Health </w:t>
      </w:r>
      <w:r w:rsidR="00730FE5">
        <w:rPr>
          <w:sz w:val="18"/>
        </w:rPr>
        <w:t>Engagement</w:t>
      </w:r>
      <w:r w:rsidRPr="00A8375E">
        <w:rPr>
          <w:sz w:val="18"/>
        </w:rPr>
        <w:t xml:space="preserve"> at </w:t>
      </w:r>
      <w:hyperlink r:id="rId8" w:history="1">
        <w:r w:rsidR="006426B9" w:rsidRPr="000F265F">
          <w:rPr>
            <w:rStyle w:val="Hyperlink"/>
            <w:sz w:val="18"/>
          </w:rPr>
          <w:t>MErnest@virtua.org</w:t>
        </w:r>
      </w:hyperlink>
      <w:r w:rsidR="000930E3" w:rsidRPr="00A8375E">
        <w:rPr>
          <w:sz w:val="18"/>
        </w:rPr>
        <w:t>.</w:t>
      </w:r>
    </w:p>
    <w:p w14:paraId="6AAB445E" w14:textId="77777777" w:rsidR="00E9465F" w:rsidRPr="00A8375E" w:rsidRDefault="00E9465F" w:rsidP="00E9465F">
      <w:pPr>
        <w:spacing w:before="0" w:after="0"/>
        <w:rPr>
          <w:sz w:val="18"/>
        </w:rPr>
      </w:pPr>
    </w:p>
    <w:tbl>
      <w:tblPr>
        <w:tblStyle w:val="TableGrid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080"/>
      </w:tblGrid>
      <w:tr w:rsidR="00093F0F" w:rsidRPr="00A8375E" w14:paraId="6AAB4468" w14:textId="77777777" w:rsidTr="008E5575">
        <w:tc>
          <w:tcPr>
            <w:tcW w:w="720" w:type="dxa"/>
          </w:tcPr>
          <w:p w14:paraId="6AAB445F" w14:textId="77777777" w:rsidR="00093F0F" w:rsidRPr="005749F0" w:rsidRDefault="00093F0F" w:rsidP="002B6E83">
            <w:pPr>
              <w:spacing w:before="0" w:after="0"/>
              <w:rPr>
                <w:b/>
                <w:sz w:val="32"/>
              </w:rPr>
            </w:pPr>
            <w:r w:rsidRPr="005749F0">
              <w:rPr>
                <w:b/>
                <w:color w:val="005571" w:themeColor="accent3" w:themeShade="BF"/>
                <w:sz w:val="32"/>
              </w:rPr>
              <w:t>1</w:t>
            </w:r>
            <w:r w:rsidR="002B6E83" w:rsidRPr="005749F0">
              <w:rPr>
                <w:b/>
                <w:color w:val="005571" w:themeColor="accent3" w:themeShade="BF"/>
                <w:sz w:val="32"/>
              </w:rPr>
              <w:t xml:space="preserve"> |</w:t>
            </w:r>
          </w:p>
        </w:tc>
        <w:tc>
          <w:tcPr>
            <w:tcW w:w="10080" w:type="dxa"/>
          </w:tcPr>
          <w:p w14:paraId="6AAB4460" w14:textId="77777777" w:rsidR="00093F0F" w:rsidRPr="005749F0" w:rsidRDefault="00093F0F" w:rsidP="00E9465F">
            <w:pPr>
              <w:spacing w:before="0" w:after="0"/>
              <w:rPr>
                <w:b/>
                <w:color w:val="005571" w:themeColor="accent3" w:themeShade="BF"/>
                <w:sz w:val="32"/>
              </w:rPr>
            </w:pPr>
            <w:r w:rsidRPr="005749F0">
              <w:rPr>
                <w:b/>
                <w:color w:val="005571" w:themeColor="accent3" w:themeShade="BF"/>
                <w:sz w:val="32"/>
              </w:rPr>
              <w:t>MEET SITE REQUIREMENTS</w:t>
            </w:r>
          </w:p>
          <w:p w14:paraId="76EF22C1" w14:textId="628635D7" w:rsidR="000930E3" w:rsidRPr="005749F0" w:rsidRDefault="000930E3" w:rsidP="000930E3">
            <w:pPr>
              <w:spacing w:before="0"/>
              <w:rPr>
                <w:sz w:val="18"/>
              </w:rPr>
            </w:pPr>
            <w:r w:rsidRPr="005749F0">
              <w:rPr>
                <w:sz w:val="18"/>
              </w:rPr>
              <w:t xml:space="preserve">Interested potential partners </w:t>
            </w:r>
            <w:r w:rsidR="001056C6" w:rsidRPr="005749F0">
              <w:rPr>
                <w:sz w:val="18"/>
              </w:rPr>
              <w:t>must</w:t>
            </w:r>
            <w:r w:rsidRPr="005749F0">
              <w:rPr>
                <w:sz w:val="18"/>
              </w:rPr>
              <w:t xml:space="preserve"> submit documentation, metrics, and examples which will serve as proof for consideration using the following criteria (this list is not exhaustive):</w:t>
            </w:r>
          </w:p>
          <w:p w14:paraId="6AAB4461" w14:textId="483F9633" w:rsidR="00093F0F" w:rsidRPr="005749F0" w:rsidRDefault="00093F0F" w:rsidP="00E9465F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5749F0">
              <w:rPr>
                <w:sz w:val="18"/>
              </w:rPr>
              <w:t>Located in a neighborhood with demonstration of need (</w:t>
            </w:r>
            <w:r w:rsidR="009E1F9D" w:rsidRPr="005749F0">
              <w:rPr>
                <w:sz w:val="18"/>
              </w:rPr>
              <w:t>i.e.,</w:t>
            </w:r>
            <w:r w:rsidRPr="005749F0">
              <w:rPr>
                <w:sz w:val="18"/>
              </w:rPr>
              <w:t xml:space="preserve"> senior housing complex, limited transportation options, lack of affordable food options</w:t>
            </w:r>
            <w:r w:rsidR="009E1F9D">
              <w:rPr>
                <w:sz w:val="18"/>
              </w:rPr>
              <w:t xml:space="preserve"> within a 1-mile radius in urban environments and 10-mile radius in rural environments</w:t>
            </w:r>
            <w:r w:rsidR="000930E3" w:rsidRPr="005749F0">
              <w:rPr>
                <w:sz w:val="18"/>
              </w:rPr>
              <w:t>, significant portion of residential population relies upon social welfare programs including but not limited to SNAP benefits</w:t>
            </w:r>
            <w:r w:rsidRPr="005749F0">
              <w:rPr>
                <w:sz w:val="18"/>
              </w:rPr>
              <w:t>).</w:t>
            </w:r>
            <w:r w:rsidR="000930E3" w:rsidRPr="005749F0">
              <w:rPr>
                <w:sz w:val="18"/>
              </w:rPr>
              <w:t xml:space="preserve"> </w:t>
            </w:r>
          </w:p>
          <w:p w14:paraId="6AAB4462" w14:textId="3522D180" w:rsidR="00093F0F" w:rsidRPr="005749F0" w:rsidRDefault="00093F0F" w:rsidP="00E9465F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5749F0">
              <w:rPr>
                <w:sz w:val="18"/>
              </w:rPr>
              <w:t>There are 80 or more units in the</w:t>
            </w:r>
            <w:r w:rsidR="00831037" w:rsidRPr="005749F0">
              <w:rPr>
                <w:sz w:val="18"/>
              </w:rPr>
              <w:t xml:space="preserve"> building or </w:t>
            </w:r>
            <w:r w:rsidR="00736B4C">
              <w:rPr>
                <w:sz w:val="18"/>
              </w:rPr>
              <w:t xml:space="preserve">immediately </w:t>
            </w:r>
            <w:r w:rsidR="002B6E83" w:rsidRPr="005749F0">
              <w:rPr>
                <w:sz w:val="18"/>
              </w:rPr>
              <w:t>surround</w:t>
            </w:r>
            <w:r w:rsidR="00B2679C" w:rsidRPr="005749F0">
              <w:rPr>
                <w:sz w:val="18"/>
              </w:rPr>
              <w:t>ing</w:t>
            </w:r>
            <w:r w:rsidR="002B6E83" w:rsidRPr="005749F0">
              <w:rPr>
                <w:sz w:val="18"/>
              </w:rPr>
              <w:t xml:space="preserve"> neighborhood providing at least 50 customers.</w:t>
            </w:r>
          </w:p>
          <w:p w14:paraId="6AAB4463" w14:textId="68D2C6CE" w:rsidR="00093F0F" w:rsidRPr="005749F0" w:rsidRDefault="00093F0F" w:rsidP="00E9465F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5749F0">
              <w:rPr>
                <w:sz w:val="18"/>
              </w:rPr>
              <w:t>Parking space l</w:t>
            </w:r>
            <w:r w:rsidR="00831037" w:rsidRPr="005749F0">
              <w:rPr>
                <w:sz w:val="18"/>
              </w:rPr>
              <w:t>arge enough to accommodate a 40-foot</w:t>
            </w:r>
            <w:r w:rsidRPr="005749F0">
              <w:rPr>
                <w:sz w:val="18"/>
              </w:rPr>
              <w:t xml:space="preserve"> </w:t>
            </w:r>
            <w:r w:rsidR="006426B9">
              <w:rPr>
                <w:sz w:val="18"/>
              </w:rPr>
              <w:t>vehicle</w:t>
            </w:r>
            <w:r w:rsidR="002F2B0A" w:rsidRPr="005749F0">
              <w:rPr>
                <w:sz w:val="18"/>
              </w:rPr>
              <w:t xml:space="preserve"> consistently</w:t>
            </w:r>
            <w:r w:rsidRPr="005749F0">
              <w:rPr>
                <w:sz w:val="18"/>
              </w:rPr>
              <w:t>.</w:t>
            </w:r>
          </w:p>
          <w:p w14:paraId="6AAB4464" w14:textId="55D3ACF9" w:rsidR="00093F0F" w:rsidRPr="005749F0" w:rsidRDefault="00093F0F" w:rsidP="00E9465F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5749F0">
              <w:rPr>
                <w:sz w:val="18"/>
              </w:rPr>
              <w:t xml:space="preserve">Bathroom access for staff and volunteers to use during </w:t>
            </w:r>
            <w:r w:rsidR="00B2679C" w:rsidRPr="005749F0">
              <w:rPr>
                <w:sz w:val="18"/>
              </w:rPr>
              <w:t>Mobile Grocery Store</w:t>
            </w:r>
            <w:r w:rsidRPr="005749F0">
              <w:rPr>
                <w:sz w:val="18"/>
              </w:rPr>
              <w:t xml:space="preserve"> operation hours at site.</w:t>
            </w:r>
          </w:p>
          <w:p w14:paraId="6AAB4465" w14:textId="444DFF89" w:rsidR="00093F0F" w:rsidRPr="005749F0" w:rsidRDefault="00093F0F" w:rsidP="00E9465F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5749F0">
              <w:rPr>
                <w:sz w:val="18"/>
              </w:rPr>
              <w:t xml:space="preserve">Support </w:t>
            </w:r>
            <w:r w:rsidR="00831037" w:rsidRPr="005749F0">
              <w:rPr>
                <w:sz w:val="18"/>
              </w:rPr>
              <w:t xml:space="preserve">in marketing and promoting the Mobile </w:t>
            </w:r>
            <w:r w:rsidR="001056C6" w:rsidRPr="005749F0">
              <w:rPr>
                <w:sz w:val="18"/>
              </w:rPr>
              <w:t>Grocery Store</w:t>
            </w:r>
            <w:r w:rsidRPr="005749F0">
              <w:rPr>
                <w:sz w:val="18"/>
              </w:rPr>
              <w:t xml:space="preserve"> </w:t>
            </w:r>
            <w:r w:rsidR="00AC71EC" w:rsidRPr="005749F0">
              <w:rPr>
                <w:sz w:val="18"/>
              </w:rPr>
              <w:t>to residents and the surrounding community</w:t>
            </w:r>
            <w:r w:rsidR="002F2B0A" w:rsidRPr="005749F0">
              <w:rPr>
                <w:sz w:val="18"/>
              </w:rPr>
              <w:t>.</w:t>
            </w:r>
            <w:r w:rsidR="00CE729B" w:rsidRPr="005749F0">
              <w:rPr>
                <w:sz w:val="18"/>
              </w:rPr>
              <w:t xml:space="preserve"> </w:t>
            </w:r>
          </w:p>
          <w:p w14:paraId="6AAB4466" w14:textId="1DD07B02" w:rsidR="00093F0F" w:rsidRPr="005749F0" w:rsidRDefault="00093F0F" w:rsidP="00E9465F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5749F0">
              <w:rPr>
                <w:sz w:val="18"/>
              </w:rPr>
              <w:t>General liability coverage with minimums of $1,000,000 per occurrence and $</w:t>
            </w:r>
            <w:r w:rsidR="006D6FB2" w:rsidRPr="005749F0">
              <w:rPr>
                <w:sz w:val="18"/>
              </w:rPr>
              <w:t>1</w:t>
            </w:r>
            <w:r w:rsidRPr="005749F0">
              <w:rPr>
                <w:sz w:val="18"/>
              </w:rPr>
              <w:t xml:space="preserve">,000,000 general aggregate limit. </w:t>
            </w:r>
          </w:p>
          <w:p w14:paraId="6AAB4467" w14:textId="13F30116" w:rsidR="00123157" w:rsidRPr="005749F0" w:rsidRDefault="00093F0F" w:rsidP="00EE0363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8"/>
              </w:rPr>
            </w:pPr>
            <w:r w:rsidRPr="005749F0">
              <w:rPr>
                <w:sz w:val="18"/>
              </w:rPr>
              <w:t>Location meets licensing requirements for the applicable municipality (</w:t>
            </w:r>
            <w:r w:rsidR="00A65E8A" w:rsidRPr="005749F0">
              <w:rPr>
                <w:sz w:val="18"/>
              </w:rPr>
              <w:t>i.e.,</w:t>
            </w:r>
            <w:r w:rsidRPr="005749F0">
              <w:rPr>
                <w:sz w:val="18"/>
              </w:rPr>
              <w:t xml:space="preserve"> at least 100 feet from a grocery story).</w:t>
            </w:r>
          </w:p>
        </w:tc>
      </w:tr>
      <w:tr w:rsidR="00093F0F" w:rsidRPr="00A8375E" w14:paraId="6AAB446D" w14:textId="77777777" w:rsidTr="008E5575">
        <w:tc>
          <w:tcPr>
            <w:tcW w:w="720" w:type="dxa"/>
          </w:tcPr>
          <w:p w14:paraId="6AAB4469" w14:textId="77777777" w:rsidR="00093F0F" w:rsidRPr="00A8375E" w:rsidRDefault="00093F0F" w:rsidP="002B6E83">
            <w:pPr>
              <w:spacing w:before="0" w:after="0"/>
              <w:rPr>
                <w:sz w:val="32"/>
              </w:rPr>
            </w:pPr>
            <w:r w:rsidRPr="00A8375E">
              <w:rPr>
                <w:b/>
                <w:color w:val="005571" w:themeColor="accent3" w:themeShade="BF"/>
                <w:sz w:val="32"/>
              </w:rPr>
              <w:t>2</w:t>
            </w:r>
            <w:r w:rsidR="002B6E83" w:rsidRPr="00A8375E">
              <w:rPr>
                <w:b/>
                <w:color w:val="005571" w:themeColor="accent3" w:themeShade="BF"/>
                <w:sz w:val="32"/>
              </w:rPr>
              <w:t xml:space="preserve"> |</w:t>
            </w:r>
          </w:p>
        </w:tc>
        <w:tc>
          <w:tcPr>
            <w:tcW w:w="10080" w:type="dxa"/>
          </w:tcPr>
          <w:p w14:paraId="6AAB446A" w14:textId="399C03FD" w:rsidR="00093F0F" w:rsidRPr="00A8375E" w:rsidRDefault="00093F0F" w:rsidP="00E9465F">
            <w:pPr>
              <w:spacing w:before="0" w:after="0"/>
              <w:rPr>
                <w:b/>
                <w:color w:val="005571" w:themeColor="accent3" w:themeShade="BF"/>
                <w:sz w:val="32"/>
              </w:rPr>
            </w:pPr>
            <w:r w:rsidRPr="00A8375E">
              <w:rPr>
                <w:b/>
                <w:color w:val="005571" w:themeColor="accent3" w:themeShade="BF"/>
                <w:sz w:val="32"/>
              </w:rPr>
              <w:t>SITE VISIT</w:t>
            </w:r>
          </w:p>
          <w:p w14:paraId="6AAB446B" w14:textId="15EC5300" w:rsidR="00093F0F" w:rsidRPr="00A8375E" w:rsidRDefault="00093F0F" w:rsidP="00E9465F">
            <w:pPr>
              <w:spacing w:before="0" w:after="0"/>
              <w:rPr>
                <w:sz w:val="18"/>
              </w:rPr>
            </w:pPr>
            <w:r w:rsidRPr="00A8375E">
              <w:rPr>
                <w:sz w:val="18"/>
              </w:rPr>
              <w:t xml:space="preserve">The site visit allows the site partner and Mobile </w:t>
            </w:r>
            <w:r w:rsidR="001056C6">
              <w:rPr>
                <w:sz w:val="18"/>
              </w:rPr>
              <w:t>Grocery Store</w:t>
            </w:r>
            <w:r w:rsidRPr="00A8375E">
              <w:rPr>
                <w:sz w:val="18"/>
              </w:rPr>
              <w:t xml:space="preserve"> team to learn more about each other. During the site visit, </w:t>
            </w:r>
            <w:r w:rsidR="009E1F9D">
              <w:rPr>
                <w:sz w:val="18"/>
              </w:rPr>
              <w:t>a member of the Community Health Engagement Department at Virtua</w:t>
            </w:r>
            <w:r w:rsidRPr="00A8375E">
              <w:rPr>
                <w:sz w:val="18"/>
              </w:rPr>
              <w:t xml:space="preserve"> will go over </w:t>
            </w:r>
            <w:r w:rsidR="00423720" w:rsidRPr="00A8375E">
              <w:rPr>
                <w:sz w:val="18"/>
              </w:rPr>
              <w:t>expectations</w:t>
            </w:r>
            <w:r w:rsidR="009E1F9D">
              <w:rPr>
                <w:sz w:val="18"/>
              </w:rPr>
              <w:t xml:space="preserve"> </w:t>
            </w:r>
            <w:r w:rsidR="00423720" w:rsidRPr="00A8375E">
              <w:rPr>
                <w:sz w:val="18"/>
              </w:rPr>
              <w:t xml:space="preserve">and </w:t>
            </w:r>
            <w:r w:rsidRPr="00A8375E">
              <w:rPr>
                <w:sz w:val="18"/>
              </w:rPr>
              <w:t>the site requirement checklist</w:t>
            </w:r>
            <w:r w:rsidR="00810E67">
              <w:rPr>
                <w:sz w:val="18"/>
              </w:rPr>
              <w:t xml:space="preserve"> with all involved parties. T</w:t>
            </w:r>
            <w:r w:rsidRPr="00A8375E">
              <w:rPr>
                <w:sz w:val="18"/>
              </w:rPr>
              <w:t>he driver</w:t>
            </w:r>
            <w:r w:rsidR="000B47A0" w:rsidRPr="00A8375E">
              <w:rPr>
                <w:sz w:val="18"/>
              </w:rPr>
              <w:t xml:space="preserve"> (when available)</w:t>
            </w:r>
            <w:r w:rsidRPr="00A8375E">
              <w:rPr>
                <w:sz w:val="18"/>
              </w:rPr>
              <w:t xml:space="preserve"> will assess the best location for the bus to park</w:t>
            </w:r>
            <w:r w:rsidR="00810E67">
              <w:rPr>
                <w:sz w:val="18"/>
              </w:rPr>
              <w:t>/operate</w:t>
            </w:r>
            <w:r w:rsidRPr="00A8375E">
              <w:rPr>
                <w:sz w:val="18"/>
              </w:rPr>
              <w:t>.</w:t>
            </w:r>
          </w:p>
          <w:p w14:paraId="6AAB446C" w14:textId="77777777" w:rsidR="00093F0F" w:rsidRPr="00A8375E" w:rsidRDefault="00093F0F" w:rsidP="00E9465F">
            <w:pPr>
              <w:spacing w:before="0" w:after="0"/>
              <w:rPr>
                <w:sz w:val="18"/>
              </w:rPr>
            </w:pPr>
          </w:p>
        </w:tc>
      </w:tr>
      <w:tr w:rsidR="00093F0F" w:rsidRPr="00A8375E" w14:paraId="6AAB4472" w14:textId="77777777" w:rsidTr="008E5575">
        <w:tc>
          <w:tcPr>
            <w:tcW w:w="720" w:type="dxa"/>
          </w:tcPr>
          <w:p w14:paraId="6AAB446E" w14:textId="77777777" w:rsidR="00093F0F" w:rsidRPr="00A8375E" w:rsidRDefault="00093F0F" w:rsidP="002B6E83">
            <w:pPr>
              <w:spacing w:before="0" w:after="0"/>
              <w:rPr>
                <w:sz w:val="32"/>
              </w:rPr>
            </w:pPr>
            <w:r w:rsidRPr="00A8375E">
              <w:rPr>
                <w:b/>
                <w:color w:val="005571" w:themeColor="accent3" w:themeShade="BF"/>
                <w:sz w:val="32"/>
              </w:rPr>
              <w:t>3</w:t>
            </w:r>
            <w:r w:rsidR="002B6E83" w:rsidRPr="00A8375E">
              <w:rPr>
                <w:b/>
                <w:color w:val="005571" w:themeColor="accent3" w:themeShade="BF"/>
                <w:sz w:val="32"/>
              </w:rPr>
              <w:t xml:space="preserve"> |</w:t>
            </w:r>
          </w:p>
        </w:tc>
        <w:tc>
          <w:tcPr>
            <w:tcW w:w="10080" w:type="dxa"/>
          </w:tcPr>
          <w:p w14:paraId="6AAB446F" w14:textId="2638D874" w:rsidR="00093F0F" w:rsidRPr="00A8375E" w:rsidRDefault="00093F0F" w:rsidP="00E9465F">
            <w:pPr>
              <w:spacing w:before="0" w:after="0"/>
              <w:rPr>
                <w:b/>
                <w:color w:val="005571" w:themeColor="accent3" w:themeShade="BF"/>
                <w:sz w:val="32"/>
              </w:rPr>
            </w:pPr>
            <w:r w:rsidRPr="00A8375E">
              <w:rPr>
                <w:b/>
                <w:color w:val="005571" w:themeColor="accent3" w:themeShade="BF"/>
                <w:sz w:val="32"/>
              </w:rPr>
              <w:t>COMMUNITY LISTENING SESSION</w:t>
            </w:r>
          </w:p>
          <w:p w14:paraId="6AAB4470" w14:textId="6BA8E499" w:rsidR="00093F0F" w:rsidRPr="00A8375E" w:rsidRDefault="00093F0F" w:rsidP="00E9465F">
            <w:pPr>
              <w:spacing w:before="0" w:after="0"/>
              <w:rPr>
                <w:sz w:val="18"/>
              </w:rPr>
            </w:pPr>
            <w:r w:rsidRPr="00A8375E">
              <w:rPr>
                <w:sz w:val="18"/>
              </w:rPr>
              <w:t xml:space="preserve">The community listening session helps us </w:t>
            </w:r>
            <w:r w:rsidR="00EE0363" w:rsidRPr="00A8375E">
              <w:rPr>
                <w:sz w:val="18"/>
              </w:rPr>
              <w:t>gauge</w:t>
            </w:r>
            <w:r w:rsidRPr="00A8375E">
              <w:rPr>
                <w:sz w:val="18"/>
              </w:rPr>
              <w:t xml:space="preserve"> </w:t>
            </w:r>
            <w:r w:rsidR="00831037" w:rsidRPr="00A8375E">
              <w:rPr>
                <w:sz w:val="18"/>
              </w:rPr>
              <w:t xml:space="preserve">the </w:t>
            </w:r>
            <w:r w:rsidRPr="00A8375E">
              <w:rPr>
                <w:sz w:val="18"/>
              </w:rPr>
              <w:t xml:space="preserve">level of interest directly from the residents. We inform residents what they can expect from the Mobile </w:t>
            </w:r>
            <w:r w:rsidR="00EE0363" w:rsidRPr="00A8375E">
              <w:rPr>
                <w:sz w:val="18"/>
              </w:rPr>
              <w:t>Grocery Store</w:t>
            </w:r>
            <w:r w:rsidRPr="00A8375E">
              <w:rPr>
                <w:sz w:val="18"/>
              </w:rPr>
              <w:t xml:space="preserve"> (</w:t>
            </w:r>
            <w:r w:rsidR="009E1F9D" w:rsidRPr="00A8375E">
              <w:rPr>
                <w:sz w:val="18"/>
              </w:rPr>
              <w:t>i.e.,</w:t>
            </w:r>
            <w:r w:rsidRPr="00A8375E">
              <w:rPr>
                <w:sz w:val="18"/>
              </w:rPr>
              <w:t xml:space="preserve"> foods we carry, payment, experience) and learn what they hope to see. We also explore dates and times that would work for the Mobile </w:t>
            </w:r>
            <w:r w:rsidR="00931642" w:rsidRPr="00A8375E">
              <w:rPr>
                <w:sz w:val="18"/>
              </w:rPr>
              <w:t>Grocery Store</w:t>
            </w:r>
            <w:r w:rsidRPr="00A8375E">
              <w:rPr>
                <w:sz w:val="18"/>
              </w:rPr>
              <w:t xml:space="preserve"> to stop at this location</w:t>
            </w:r>
            <w:r w:rsidR="009E1F9D">
              <w:rPr>
                <w:sz w:val="18"/>
              </w:rPr>
              <w:t xml:space="preserve"> </w:t>
            </w:r>
            <w:r w:rsidR="001056C6">
              <w:rPr>
                <w:sz w:val="18"/>
              </w:rPr>
              <w:t>if there are open options in the schedule</w:t>
            </w:r>
            <w:r w:rsidRPr="00A8375E">
              <w:rPr>
                <w:sz w:val="18"/>
              </w:rPr>
              <w:t>.</w:t>
            </w:r>
            <w:r w:rsidR="00831037" w:rsidRPr="00A8375E">
              <w:rPr>
                <w:sz w:val="18"/>
              </w:rPr>
              <w:t xml:space="preserve"> </w:t>
            </w:r>
            <w:r w:rsidR="009E1F9D">
              <w:rPr>
                <w:sz w:val="18"/>
              </w:rPr>
              <w:t>Virtua</w:t>
            </w:r>
            <w:r w:rsidR="00831037" w:rsidRPr="00A8375E">
              <w:rPr>
                <w:sz w:val="18"/>
              </w:rPr>
              <w:t xml:space="preserve"> </w:t>
            </w:r>
            <w:r w:rsidR="00636829" w:rsidRPr="00A8375E">
              <w:rPr>
                <w:sz w:val="18"/>
              </w:rPr>
              <w:t xml:space="preserve">may </w:t>
            </w:r>
            <w:r w:rsidR="00831037" w:rsidRPr="00A8375E">
              <w:rPr>
                <w:sz w:val="18"/>
              </w:rPr>
              <w:t>provide light snacks</w:t>
            </w:r>
            <w:r w:rsidR="00636829" w:rsidRPr="00A8375E">
              <w:rPr>
                <w:sz w:val="18"/>
              </w:rPr>
              <w:t xml:space="preserve"> and refreshments</w:t>
            </w:r>
            <w:r w:rsidR="00831037" w:rsidRPr="00A8375E">
              <w:rPr>
                <w:sz w:val="18"/>
              </w:rPr>
              <w:t xml:space="preserve"> for the community listening session</w:t>
            </w:r>
            <w:r w:rsidR="009E1F9D">
              <w:rPr>
                <w:sz w:val="18"/>
              </w:rPr>
              <w:t xml:space="preserve">, depending upon any restrictions outlined by potential partner and/or public health emergency status. </w:t>
            </w:r>
          </w:p>
          <w:p w14:paraId="6AAB4471" w14:textId="77777777" w:rsidR="00093F0F" w:rsidRPr="00A8375E" w:rsidRDefault="00093F0F" w:rsidP="00E9465F">
            <w:pPr>
              <w:spacing w:before="0" w:after="0"/>
              <w:rPr>
                <w:sz w:val="18"/>
              </w:rPr>
            </w:pPr>
          </w:p>
        </w:tc>
      </w:tr>
      <w:tr w:rsidR="00093F0F" w:rsidRPr="00A8375E" w14:paraId="6AAB4477" w14:textId="77777777" w:rsidTr="008E5575">
        <w:tc>
          <w:tcPr>
            <w:tcW w:w="720" w:type="dxa"/>
          </w:tcPr>
          <w:p w14:paraId="6AAB4473" w14:textId="77777777" w:rsidR="00093F0F" w:rsidRPr="00A8375E" w:rsidRDefault="00093F0F" w:rsidP="002B6E83">
            <w:pPr>
              <w:spacing w:before="0" w:after="0"/>
              <w:rPr>
                <w:sz w:val="32"/>
              </w:rPr>
            </w:pPr>
            <w:r w:rsidRPr="00A8375E">
              <w:rPr>
                <w:b/>
                <w:color w:val="005571" w:themeColor="accent3" w:themeShade="BF"/>
                <w:sz w:val="32"/>
              </w:rPr>
              <w:t>4</w:t>
            </w:r>
            <w:r w:rsidR="002B6E83" w:rsidRPr="00A8375E">
              <w:rPr>
                <w:b/>
                <w:color w:val="005571" w:themeColor="accent3" w:themeShade="BF"/>
                <w:sz w:val="32"/>
              </w:rPr>
              <w:t xml:space="preserve"> |</w:t>
            </w:r>
          </w:p>
        </w:tc>
        <w:tc>
          <w:tcPr>
            <w:tcW w:w="10080" w:type="dxa"/>
          </w:tcPr>
          <w:p w14:paraId="6AAB4474" w14:textId="77777777" w:rsidR="00093F0F" w:rsidRPr="00A8375E" w:rsidRDefault="00093F0F" w:rsidP="00E9465F">
            <w:pPr>
              <w:spacing w:before="0" w:after="0"/>
              <w:rPr>
                <w:b/>
                <w:color w:val="005571" w:themeColor="accent3" w:themeShade="BF"/>
                <w:sz w:val="32"/>
              </w:rPr>
            </w:pPr>
            <w:r w:rsidRPr="00A8375E">
              <w:rPr>
                <w:b/>
                <w:color w:val="005571" w:themeColor="accent3" w:themeShade="BF"/>
                <w:sz w:val="32"/>
              </w:rPr>
              <w:t>SELECT A DATE AND TIME</w:t>
            </w:r>
          </w:p>
          <w:p w14:paraId="6AAB4475" w14:textId="28C7D7F6" w:rsidR="00093F0F" w:rsidRPr="00A8375E" w:rsidRDefault="00093F0F" w:rsidP="00E9465F">
            <w:pPr>
              <w:spacing w:before="0" w:after="0"/>
              <w:rPr>
                <w:sz w:val="18"/>
              </w:rPr>
            </w:pPr>
            <w:r w:rsidRPr="00A8375E">
              <w:rPr>
                <w:sz w:val="18"/>
              </w:rPr>
              <w:t>Don’t be discouraged if we don’t currently have any available slots. We review our stops on a quarterly basis and may have openings w</w:t>
            </w:r>
            <w:r w:rsidR="009E1F9D">
              <w:rPr>
                <w:sz w:val="18"/>
              </w:rPr>
              <w:t>ith limited</w:t>
            </w:r>
            <w:r w:rsidRPr="00A8375E">
              <w:rPr>
                <w:sz w:val="18"/>
              </w:rPr>
              <w:t xml:space="preserve"> notice. Once steps 1-3 have been completed, we will add you to our roster of potential new sites</w:t>
            </w:r>
            <w:r w:rsidR="009E1F9D">
              <w:rPr>
                <w:sz w:val="18"/>
              </w:rPr>
              <w:t xml:space="preserve"> if you meet the requirements</w:t>
            </w:r>
            <w:r w:rsidRPr="00A8375E">
              <w:rPr>
                <w:sz w:val="18"/>
              </w:rPr>
              <w:t>. Once a day of the week, time</w:t>
            </w:r>
            <w:r w:rsidR="00361449">
              <w:rPr>
                <w:sz w:val="18"/>
              </w:rPr>
              <w:t>,</w:t>
            </w:r>
            <w:r w:rsidRPr="00A8375E">
              <w:rPr>
                <w:sz w:val="18"/>
              </w:rPr>
              <w:t xml:space="preserve"> and start date is selected, we will generate a </w:t>
            </w:r>
            <w:r w:rsidR="006D688A" w:rsidRPr="00A8375E">
              <w:rPr>
                <w:sz w:val="18"/>
              </w:rPr>
              <w:t>site agreement</w:t>
            </w:r>
            <w:r w:rsidRPr="00A8375E">
              <w:rPr>
                <w:sz w:val="18"/>
              </w:rPr>
              <w:t xml:space="preserve"> for</w:t>
            </w:r>
            <w:r w:rsidR="006D688A" w:rsidRPr="00A8375E">
              <w:rPr>
                <w:sz w:val="18"/>
              </w:rPr>
              <w:t xml:space="preserve"> </w:t>
            </w:r>
            <w:r w:rsidR="009E1F9D">
              <w:rPr>
                <w:sz w:val="18"/>
              </w:rPr>
              <w:t>all relevant</w:t>
            </w:r>
            <w:r w:rsidR="006D688A" w:rsidRPr="00A8375E">
              <w:rPr>
                <w:sz w:val="18"/>
              </w:rPr>
              <w:t xml:space="preserve"> parties </w:t>
            </w:r>
            <w:r w:rsidR="0094592D" w:rsidRPr="00A8375E">
              <w:rPr>
                <w:sz w:val="18"/>
              </w:rPr>
              <w:t xml:space="preserve">to sign. </w:t>
            </w:r>
          </w:p>
          <w:p w14:paraId="6AAB4476" w14:textId="77777777" w:rsidR="00093F0F" w:rsidRPr="00A8375E" w:rsidRDefault="00093F0F" w:rsidP="00E9465F">
            <w:pPr>
              <w:spacing w:before="0" w:after="0"/>
              <w:rPr>
                <w:sz w:val="18"/>
              </w:rPr>
            </w:pPr>
          </w:p>
        </w:tc>
      </w:tr>
      <w:tr w:rsidR="00093F0F" w:rsidRPr="00A8375E" w14:paraId="6AAB447B" w14:textId="77777777" w:rsidTr="008E5575">
        <w:tc>
          <w:tcPr>
            <w:tcW w:w="720" w:type="dxa"/>
          </w:tcPr>
          <w:p w14:paraId="6AAB4478" w14:textId="77777777" w:rsidR="00093F0F" w:rsidRPr="00A8375E" w:rsidRDefault="00093F0F" w:rsidP="002B6E83">
            <w:pPr>
              <w:spacing w:before="0" w:after="0"/>
              <w:rPr>
                <w:sz w:val="32"/>
              </w:rPr>
            </w:pPr>
            <w:r w:rsidRPr="00A8375E">
              <w:rPr>
                <w:b/>
                <w:color w:val="005571" w:themeColor="accent3" w:themeShade="BF"/>
                <w:sz w:val="32"/>
              </w:rPr>
              <w:t>5</w:t>
            </w:r>
            <w:r w:rsidR="002B6E83" w:rsidRPr="00A8375E">
              <w:rPr>
                <w:b/>
                <w:color w:val="005571" w:themeColor="accent3" w:themeShade="BF"/>
                <w:sz w:val="32"/>
              </w:rPr>
              <w:t xml:space="preserve"> |</w:t>
            </w:r>
          </w:p>
        </w:tc>
        <w:tc>
          <w:tcPr>
            <w:tcW w:w="10080" w:type="dxa"/>
          </w:tcPr>
          <w:p w14:paraId="6AAB4479" w14:textId="77777777" w:rsidR="00093F0F" w:rsidRPr="00A8375E" w:rsidRDefault="00093F0F" w:rsidP="00E9465F">
            <w:pPr>
              <w:spacing w:before="0" w:after="0"/>
              <w:rPr>
                <w:b/>
                <w:color w:val="005571" w:themeColor="accent3" w:themeShade="BF"/>
                <w:sz w:val="32"/>
              </w:rPr>
            </w:pPr>
            <w:r w:rsidRPr="00A8375E">
              <w:rPr>
                <w:b/>
                <w:color w:val="005571" w:themeColor="accent3" w:themeShade="BF"/>
                <w:sz w:val="32"/>
              </w:rPr>
              <w:t>INFORM RESIDENTS</w:t>
            </w:r>
          </w:p>
          <w:p w14:paraId="6AAB447A" w14:textId="716FCB07" w:rsidR="00093F0F" w:rsidRPr="00A8375E" w:rsidRDefault="00093F0F" w:rsidP="00E9465F">
            <w:pPr>
              <w:spacing w:before="0" w:after="0"/>
              <w:rPr>
                <w:sz w:val="18"/>
              </w:rPr>
            </w:pPr>
            <w:r w:rsidRPr="00A8375E">
              <w:rPr>
                <w:sz w:val="18"/>
              </w:rPr>
              <w:t xml:space="preserve">Congratulations! We can begin promoting the Mobile </w:t>
            </w:r>
            <w:r w:rsidR="00250028" w:rsidRPr="00A8375E">
              <w:rPr>
                <w:sz w:val="18"/>
              </w:rPr>
              <w:t>Grocery Store</w:t>
            </w:r>
            <w:r w:rsidRPr="00A8375E">
              <w:rPr>
                <w:sz w:val="18"/>
              </w:rPr>
              <w:t xml:space="preserve"> stop with residents and the surround</w:t>
            </w:r>
            <w:r w:rsidR="00831037" w:rsidRPr="00A8375E">
              <w:rPr>
                <w:sz w:val="18"/>
              </w:rPr>
              <w:t>ing</w:t>
            </w:r>
            <w:r w:rsidRPr="00A8375E">
              <w:rPr>
                <w:sz w:val="18"/>
              </w:rPr>
              <w:t xml:space="preserve"> community a few weeks before the stop begins.</w:t>
            </w:r>
          </w:p>
        </w:tc>
      </w:tr>
    </w:tbl>
    <w:p w14:paraId="2FA876B1" w14:textId="567A7B12" w:rsidR="002B6E83" w:rsidRPr="00810E67" w:rsidRDefault="002B6E83" w:rsidP="00810E67">
      <w:pPr>
        <w:rPr>
          <w:sz w:val="18"/>
        </w:rPr>
      </w:pPr>
    </w:p>
    <w:sectPr w:rsidR="002B6E83" w:rsidRPr="00810E67" w:rsidSect="000D5707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4480" w14:textId="77777777" w:rsidR="00876C8D" w:rsidRDefault="00876C8D" w:rsidP="002B6E83">
      <w:pPr>
        <w:spacing w:before="0" w:after="0" w:line="240" w:lineRule="auto"/>
      </w:pPr>
      <w:r>
        <w:separator/>
      </w:r>
    </w:p>
  </w:endnote>
  <w:endnote w:type="continuationSeparator" w:id="0">
    <w:p w14:paraId="6AAB4481" w14:textId="77777777" w:rsidR="00876C8D" w:rsidRDefault="00876C8D" w:rsidP="002B6E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4483" w14:textId="67A32465" w:rsidR="00876C8D" w:rsidRDefault="00876C8D" w:rsidP="00AC71EC">
    <w:pPr>
      <w:spacing w:after="0" w:line="360" w:lineRule="auto"/>
      <w:rPr>
        <w:rFonts w:ascii="Century Gothic" w:hAnsi="Century Gothic"/>
        <w:sz w:val="14"/>
        <w:szCs w:val="12"/>
      </w:rPr>
    </w:pPr>
    <w:r w:rsidRPr="00A8375E">
      <w:rPr>
        <w:rFonts w:ascii="Century Gothic" w:hAnsi="Century Gothic"/>
        <w:sz w:val="14"/>
        <w:szCs w:val="12"/>
      </w:rPr>
      <w:t>Potential partners in receipt of this document should understand that this does not guarantee our partnership</w:t>
    </w:r>
    <w:r>
      <w:rPr>
        <w:rFonts w:ascii="Century Gothic" w:hAnsi="Century Gothic"/>
        <w:sz w:val="14"/>
        <w:szCs w:val="12"/>
      </w:rPr>
      <w:t xml:space="preserve"> or a weekly time slot</w:t>
    </w:r>
    <w:r w:rsidRPr="00A8375E">
      <w:rPr>
        <w:rFonts w:ascii="Century Gothic" w:hAnsi="Century Gothic"/>
        <w:sz w:val="14"/>
        <w:szCs w:val="12"/>
      </w:rPr>
      <w:t xml:space="preserve">. This </w:t>
    </w:r>
    <w:r>
      <w:rPr>
        <w:rFonts w:ascii="Century Gothic" w:hAnsi="Century Gothic"/>
        <w:sz w:val="14"/>
        <w:szCs w:val="12"/>
      </w:rPr>
      <w:t>check</w:t>
    </w:r>
    <w:r w:rsidRPr="00A8375E">
      <w:rPr>
        <w:rFonts w:ascii="Century Gothic" w:hAnsi="Century Gothic"/>
        <w:sz w:val="14"/>
        <w:szCs w:val="12"/>
      </w:rPr>
      <w:t xml:space="preserve">list helps us to identify community partners that are a best fit for our program and mission. </w:t>
    </w:r>
    <w:r>
      <w:rPr>
        <w:rFonts w:ascii="Century Gothic" w:hAnsi="Century Gothic"/>
        <w:sz w:val="14"/>
        <w:szCs w:val="12"/>
      </w:rPr>
      <w:t>Your request will be placed in a queue of potential partners</w:t>
    </w:r>
    <w:r w:rsidR="009E1F9D">
      <w:rPr>
        <w:rFonts w:ascii="Century Gothic" w:hAnsi="Century Gothic"/>
        <w:sz w:val="14"/>
        <w:szCs w:val="12"/>
      </w:rPr>
      <w:t xml:space="preserve"> if you meet the outlined requirements</w:t>
    </w:r>
    <w:r>
      <w:rPr>
        <w:rFonts w:ascii="Century Gothic" w:hAnsi="Century Gothic"/>
        <w:sz w:val="14"/>
        <w:szCs w:val="12"/>
      </w:rPr>
      <w:t xml:space="preserve">. </w:t>
    </w:r>
    <w:r w:rsidRPr="00A8375E">
      <w:rPr>
        <w:rFonts w:ascii="Century Gothic" w:hAnsi="Century Gothic"/>
        <w:sz w:val="14"/>
        <w:szCs w:val="12"/>
      </w:rPr>
      <w:t xml:space="preserve">We thank you for your interest, inquiry, and understanding. </w:t>
    </w:r>
  </w:p>
  <w:p w14:paraId="55A90195" w14:textId="0893CA62" w:rsidR="00361449" w:rsidRPr="00361449" w:rsidRDefault="00361449" w:rsidP="00361449">
    <w:pPr>
      <w:spacing w:after="0" w:line="360" w:lineRule="auto"/>
      <w:jc w:val="right"/>
      <w:rPr>
        <w:rFonts w:ascii="Century Gothic" w:hAnsi="Century Gothic"/>
        <w:i/>
        <w:iCs/>
        <w:sz w:val="14"/>
        <w:szCs w:val="12"/>
      </w:rPr>
    </w:pPr>
    <w:r w:rsidRPr="00361449">
      <w:rPr>
        <w:rFonts w:ascii="Century Gothic" w:hAnsi="Century Gothic"/>
        <w:i/>
        <w:iCs/>
        <w:sz w:val="14"/>
        <w:szCs w:val="12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47E" w14:textId="77777777" w:rsidR="00876C8D" w:rsidRDefault="00876C8D" w:rsidP="002B6E83">
      <w:pPr>
        <w:spacing w:before="0" w:after="0" w:line="240" w:lineRule="auto"/>
      </w:pPr>
      <w:r>
        <w:separator/>
      </w:r>
    </w:p>
  </w:footnote>
  <w:footnote w:type="continuationSeparator" w:id="0">
    <w:p w14:paraId="6AAB447F" w14:textId="77777777" w:rsidR="00876C8D" w:rsidRDefault="00876C8D" w:rsidP="002B6E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DAD9" w14:textId="57205DE2" w:rsidR="00876C8D" w:rsidRDefault="00876C8D" w:rsidP="0045067D">
    <w:pPr>
      <w:pStyle w:val="Header"/>
      <w:tabs>
        <w:tab w:val="clear" w:pos="4680"/>
        <w:tab w:val="clear" w:pos="9360"/>
        <w:tab w:val="left" w:pos="1110"/>
      </w:tabs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3BFB1C5" wp14:editId="0917D809">
          <wp:simplePos x="0" y="0"/>
          <wp:positionH relativeFrom="margin">
            <wp:posOffset>5384800</wp:posOffset>
          </wp:positionH>
          <wp:positionV relativeFrom="paragraph">
            <wp:posOffset>-165100</wp:posOffset>
          </wp:positionV>
          <wp:extent cx="1535430" cy="589280"/>
          <wp:effectExtent l="0" t="0" r="7620" b="1270"/>
          <wp:wrapNone/>
          <wp:docPr id="32" name="image2.png" descr="Primary Full Color Logo - Virtua Healt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rimary Full Color Logo - Virtua Healt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5430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7BB">
      <w:rPr>
        <w:noProof/>
      </w:rPr>
      <w:drawing>
        <wp:anchor distT="0" distB="0" distL="114300" distR="114300" simplePos="0" relativeHeight="251659264" behindDoc="1" locked="0" layoutInCell="1" allowOverlap="1" wp14:anchorId="0CE9596E" wp14:editId="1F10FA49">
          <wp:simplePos x="0" y="0"/>
          <wp:positionH relativeFrom="margin">
            <wp:posOffset>-100947</wp:posOffset>
          </wp:positionH>
          <wp:positionV relativeFrom="paragraph">
            <wp:posOffset>-194310</wp:posOffset>
          </wp:positionV>
          <wp:extent cx="1752600" cy="657867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57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107"/>
    <w:multiLevelType w:val="hybridMultilevel"/>
    <w:tmpl w:val="4AEA7990"/>
    <w:lvl w:ilvl="0" w:tplc="991C6BA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88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5F"/>
    <w:rsid w:val="0005110C"/>
    <w:rsid w:val="000930E3"/>
    <w:rsid w:val="00093F0F"/>
    <w:rsid w:val="000B1419"/>
    <w:rsid w:val="000B47A0"/>
    <w:rsid w:val="000D5707"/>
    <w:rsid w:val="001056C6"/>
    <w:rsid w:val="00123157"/>
    <w:rsid w:val="001C6289"/>
    <w:rsid w:val="00250028"/>
    <w:rsid w:val="0028352F"/>
    <w:rsid w:val="002B6E83"/>
    <w:rsid w:val="002F2B0A"/>
    <w:rsid w:val="00320D60"/>
    <w:rsid w:val="00361449"/>
    <w:rsid w:val="00423720"/>
    <w:rsid w:val="0045067D"/>
    <w:rsid w:val="005749F0"/>
    <w:rsid w:val="00583C30"/>
    <w:rsid w:val="005A1B3E"/>
    <w:rsid w:val="005E4E1D"/>
    <w:rsid w:val="00636829"/>
    <w:rsid w:val="006426B9"/>
    <w:rsid w:val="006D688A"/>
    <w:rsid w:val="006D6FB2"/>
    <w:rsid w:val="006E6671"/>
    <w:rsid w:val="00730FE5"/>
    <w:rsid w:val="00736B4C"/>
    <w:rsid w:val="00810E67"/>
    <w:rsid w:val="00814B7A"/>
    <w:rsid w:val="00831037"/>
    <w:rsid w:val="00854C7E"/>
    <w:rsid w:val="00876C8D"/>
    <w:rsid w:val="00897F87"/>
    <w:rsid w:val="008B4B20"/>
    <w:rsid w:val="008E5575"/>
    <w:rsid w:val="00931642"/>
    <w:rsid w:val="0094592D"/>
    <w:rsid w:val="009E1F9D"/>
    <w:rsid w:val="00A11D52"/>
    <w:rsid w:val="00A134FD"/>
    <w:rsid w:val="00A65E8A"/>
    <w:rsid w:val="00A8375E"/>
    <w:rsid w:val="00AC71EC"/>
    <w:rsid w:val="00AD34BB"/>
    <w:rsid w:val="00B2679C"/>
    <w:rsid w:val="00BB70D1"/>
    <w:rsid w:val="00CE729B"/>
    <w:rsid w:val="00D14A8C"/>
    <w:rsid w:val="00E9465F"/>
    <w:rsid w:val="00EE0363"/>
    <w:rsid w:val="00EE2F40"/>
    <w:rsid w:val="00F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AB445B"/>
  <w15:chartTrackingRefBased/>
  <w15:docId w15:val="{181BB856-B728-41B6-87FF-F9C930C7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5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65F"/>
    <w:rPr>
      <w:color w:val="0070C0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6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6E83"/>
    <w:pPr>
      <w:tabs>
        <w:tab w:val="center" w:pos="4680"/>
        <w:tab w:val="right" w:pos="9360"/>
      </w:tabs>
      <w:spacing w:before="0"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B6E83"/>
    <w:rPr>
      <w:rFonts w:eastAsiaTheme="minorEastAsia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E8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83"/>
    <w:rPr>
      <w:rFonts w:eastAsiaTheme="minorEastAsi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1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1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15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15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57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nest@virtu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CM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1C73D"/>
      </a:accent1>
      <a:accent2>
        <a:srgbClr val="D83731"/>
      </a:accent2>
      <a:accent3>
        <a:srgbClr val="007398"/>
      </a:accent3>
      <a:accent4>
        <a:srgbClr val="9BD3DD"/>
      </a:accent4>
      <a:accent5>
        <a:srgbClr val="DC582A"/>
      </a:accent5>
      <a:accent6>
        <a:srgbClr val="F0B323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39B2-91E6-489C-9092-3E11577C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H Wilder Foundation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Xiong</dc:creator>
  <cp:keywords/>
  <dc:description/>
  <cp:lastModifiedBy>Ernest, Melanie</cp:lastModifiedBy>
  <cp:revision>43</cp:revision>
  <cp:lastPrinted>2023-06-09T19:22:00Z</cp:lastPrinted>
  <dcterms:created xsi:type="dcterms:W3CDTF">2020-07-15T20:15:00Z</dcterms:created>
  <dcterms:modified xsi:type="dcterms:W3CDTF">2024-01-17T20:11:00Z</dcterms:modified>
</cp:coreProperties>
</file>